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52559" w14:textId="77777777" w:rsidR="0018754F" w:rsidRDefault="0018754F" w:rsidP="0018754F">
      <w:pPr>
        <w:autoSpaceDE w:val="0"/>
        <w:autoSpaceDN w:val="0"/>
        <w:spacing w:after="100" w:afterAutospacing="1" w:line="276" w:lineRule="auto"/>
        <w:rPr>
          <w:rFonts w:asciiTheme="minorHAnsi" w:hAnsiTheme="minorHAnsi"/>
          <w:b/>
          <w:sz w:val="40"/>
          <w:szCs w:val="40"/>
        </w:rPr>
      </w:pPr>
      <w:r w:rsidRPr="001D648D">
        <w:rPr>
          <w:noProof/>
          <w:lang w:eastAsia="el-GR"/>
        </w:rPr>
        <w:drawing>
          <wp:inline distT="0" distB="0" distL="0" distR="0" wp14:anchorId="24983D48" wp14:editId="7F73CC64">
            <wp:extent cx="1559560" cy="499745"/>
            <wp:effectExtent l="0" t="0" r="2540" b="0"/>
            <wp:docPr id="2" name="Εικόνα 7"/>
            <wp:cNvGraphicFramePr/>
            <a:graphic xmlns:a="http://schemas.openxmlformats.org/drawingml/2006/main">
              <a:graphicData uri="http://schemas.openxmlformats.org/drawingml/2006/picture">
                <pic:pic xmlns:pic="http://schemas.openxmlformats.org/drawingml/2006/picture">
                  <pic:nvPicPr>
                    <pic:cNvPr id="8" name="Εικόνα 7"/>
                    <pic:cNvPicPr/>
                  </pic:nvPicPr>
                  <pic:blipFill>
                    <a:blip r:embed="rId8" cstate="print"/>
                    <a:stretch>
                      <a:fillRect/>
                    </a:stretch>
                  </pic:blipFill>
                  <pic:spPr>
                    <a:xfrm>
                      <a:off x="0" y="0"/>
                      <a:ext cx="1559560" cy="499745"/>
                    </a:xfrm>
                    <a:prstGeom prst="rect">
                      <a:avLst/>
                    </a:prstGeom>
                    <a:ln>
                      <a:noFill/>
                    </a:ln>
                  </pic:spPr>
                </pic:pic>
              </a:graphicData>
            </a:graphic>
          </wp:inline>
        </w:drawing>
      </w:r>
    </w:p>
    <w:p w14:paraId="036025B6" w14:textId="612674F6" w:rsidR="00E45E01" w:rsidRDefault="00E45E01" w:rsidP="002C2594">
      <w:pPr>
        <w:autoSpaceDE w:val="0"/>
        <w:autoSpaceDN w:val="0"/>
        <w:spacing w:after="100" w:afterAutospacing="1"/>
        <w:jc w:val="center"/>
        <w:rPr>
          <w:rFonts w:asciiTheme="minorHAnsi" w:hAnsiTheme="minorHAnsi"/>
          <w:b/>
          <w:sz w:val="40"/>
          <w:szCs w:val="40"/>
        </w:rPr>
      </w:pPr>
      <w:r>
        <w:rPr>
          <w:rFonts w:asciiTheme="minorHAnsi" w:hAnsiTheme="minorHAnsi"/>
          <w:b/>
          <w:sz w:val="40"/>
          <w:szCs w:val="40"/>
        </w:rPr>
        <w:t>ΔΕΛΤΙΟ ΤΥΠΟΥ</w:t>
      </w:r>
    </w:p>
    <w:p w14:paraId="55A0C10A" w14:textId="47F88E4E" w:rsidR="00806083" w:rsidRPr="00E50422" w:rsidRDefault="00806083" w:rsidP="002C2594">
      <w:pPr>
        <w:jc w:val="center"/>
        <w:rPr>
          <w:rFonts w:ascii="Georgia" w:hAnsi="Georgia" w:cs="Georgia"/>
          <w:b/>
          <w:sz w:val="24"/>
          <w:szCs w:val="24"/>
        </w:rPr>
      </w:pPr>
      <w:r w:rsidRPr="00E50422">
        <w:rPr>
          <w:rFonts w:ascii="Georgia" w:hAnsi="Georgia" w:cs="Georgia"/>
          <w:b/>
          <w:sz w:val="24"/>
          <w:szCs w:val="24"/>
        </w:rPr>
        <w:t>ΔΙΕΘΝΗ ΠΡΟΤΥΠΑ ΧΡΗΜΑΤΟΟΙΚΟΝΟΜΙΚΗΣ ΑΝΑΦΟΡΑΣ</w:t>
      </w:r>
    </w:p>
    <w:p w14:paraId="33A8CD1E" w14:textId="564D81C9" w:rsidR="00272D99" w:rsidRPr="004F6A38" w:rsidRDefault="004F6A38" w:rsidP="002C2594">
      <w:pPr>
        <w:jc w:val="center"/>
        <w:rPr>
          <w:rFonts w:ascii="Georgia" w:hAnsi="Georgia" w:cs="Georgia"/>
          <w:sz w:val="20"/>
          <w:szCs w:val="20"/>
        </w:rPr>
      </w:pPr>
      <w:r w:rsidRPr="004F6A38">
        <w:rPr>
          <w:rFonts w:ascii="Georgia" w:hAnsi="Georgia" w:cs="Georgia"/>
          <w:sz w:val="20"/>
          <w:szCs w:val="20"/>
        </w:rPr>
        <w:t>τ. Α’ + τ. Β’ – σελίδες 2.304</w:t>
      </w:r>
    </w:p>
    <w:p w14:paraId="131A7BCB" w14:textId="6DD1CB11" w:rsidR="00806083" w:rsidRPr="004F6A38" w:rsidRDefault="00806083" w:rsidP="002C2594">
      <w:pPr>
        <w:jc w:val="center"/>
        <w:rPr>
          <w:rFonts w:ascii="Georgia" w:hAnsi="Georgia" w:cs="Georgia"/>
          <w:sz w:val="20"/>
          <w:szCs w:val="20"/>
        </w:rPr>
      </w:pPr>
      <w:r w:rsidRPr="004F6A38">
        <w:rPr>
          <w:rFonts w:ascii="Georgia" w:hAnsi="Georgia" w:cs="Georgia"/>
          <w:sz w:val="20"/>
          <w:szCs w:val="20"/>
          <w:lang w:val="en-US"/>
        </w:rPr>
        <w:t>ISBN</w:t>
      </w:r>
      <w:r w:rsidRPr="004F6A38">
        <w:rPr>
          <w:rFonts w:ascii="Georgia" w:hAnsi="Georgia" w:cs="Georgia"/>
          <w:sz w:val="20"/>
          <w:szCs w:val="20"/>
        </w:rPr>
        <w:t xml:space="preserve"> </w:t>
      </w:r>
      <w:r w:rsidRPr="004F6A38">
        <w:rPr>
          <w:rFonts w:ascii="Georgia" w:hAnsi="Georgia" w:cs="Georgia"/>
          <w:sz w:val="20"/>
          <w:szCs w:val="20"/>
          <w:lang w:val="en-US"/>
        </w:rPr>
        <w:t>set</w:t>
      </w:r>
      <w:r w:rsidRPr="004F6A38">
        <w:rPr>
          <w:rFonts w:ascii="Georgia" w:hAnsi="Georgia" w:cs="Georgia"/>
          <w:sz w:val="20"/>
          <w:szCs w:val="20"/>
        </w:rPr>
        <w:t>: 978-618-82636-2-8</w:t>
      </w:r>
    </w:p>
    <w:p w14:paraId="7A0BE872" w14:textId="77777777" w:rsidR="00806083" w:rsidRPr="004F6A38" w:rsidRDefault="00806083" w:rsidP="002C2594">
      <w:pPr>
        <w:jc w:val="center"/>
        <w:rPr>
          <w:rFonts w:ascii="Georgia" w:hAnsi="Georgia" w:cs="Georgia"/>
          <w:sz w:val="20"/>
          <w:szCs w:val="20"/>
        </w:rPr>
      </w:pPr>
      <w:r w:rsidRPr="004F6A38">
        <w:rPr>
          <w:rFonts w:ascii="Georgia" w:hAnsi="Georgia" w:cs="Georgia"/>
          <w:sz w:val="20"/>
          <w:szCs w:val="20"/>
        </w:rPr>
        <w:t xml:space="preserve">Συγγραφέας </w:t>
      </w:r>
      <w:r w:rsidRPr="004F6A38">
        <w:rPr>
          <w:rFonts w:ascii="Georgia" w:hAnsi="Georgia" w:cs="Georgia"/>
          <w:b/>
          <w:sz w:val="20"/>
          <w:szCs w:val="20"/>
          <w:lang w:val="en-US"/>
        </w:rPr>
        <w:t>GRANT</w:t>
      </w:r>
      <w:r w:rsidRPr="004F6A38">
        <w:rPr>
          <w:rFonts w:ascii="Georgia" w:hAnsi="Georgia" w:cs="Georgia"/>
          <w:b/>
          <w:sz w:val="20"/>
          <w:szCs w:val="20"/>
        </w:rPr>
        <w:t xml:space="preserve"> </w:t>
      </w:r>
      <w:r w:rsidRPr="004F6A38">
        <w:rPr>
          <w:rFonts w:ascii="Georgia" w:hAnsi="Georgia" w:cs="Georgia"/>
          <w:b/>
          <w:sz w:val="20"/>
          <w:szCs w:val="20"/>
          <w:lang w:val="en-US"/>
        </w:rPr>
        <w:t>THORNTON</w:t>
      </w:r>
    </w:p>
    <w:p w14:paraId="35E1451E" w14:textId="5BC167A4" w:rsidR="00806083" w:rsidRPr="004F6A38" w:rsidRDefault="00272D99" w:rsidP="002C2594">
      <w:pPr>
        <w:jc w:val="center"/>
        <w:rPr>
          <w:rFonts w:ascii="Georgia" w:hAnsi="Georgia" w:cs="Georgia"/>
          <w:sz w:val="20"/>
          <w:szCs w:val="20"/>
        </w:rPr>
      </w:pPr>
      <w:r w:rsidRPr="004F6A38">
        <w:rPr>
          <w:rFonts w:ascii="Georgia" w:hAnsi="Georgia" w:cs="Georgia"/>
          <w:sz w:val="20"/>
          <w:szCs w:val="20"/>
        </w:rPr>
        <w:t>Τιμή</w:t>
      </w:r>
      <w:r w:rsidR="00806083" w:rsidRPr="004F6A38">
        <w:rPr>
          <w:rFonts w:ascii="Georgia" w:hAnsi="Georgia" w:cs="Georgia"/>
          <w:sz w:val="20"/>
          <w:szCs w:val="20"/>
        </w:rPr>
        <w:t xml:space="preserve"> δύο τόμων: 100,00 ευρώ</w:t>
      </w:r>
    </w:p>
    <w:p w14:paraId="25493508" w14:textId="77777777" w:rsidR="00806083" w:rsidRDefault="00806083" w:rsidP="002C2594">
      <w:pPr>
        <w:jc w:val="center"/>
        <w:rPr>
          <w:rFonts w:ascii="Georgia" w:hAnsi="Georgia" w:cs="Georgia"/>
          <w:sz w:val="24"/>
          <w:szCs w:val="24"/>
        </w:rPr>
      </w:pPr>
    </w:p>
    <w:p w14:paraId="18D571AF" w14:textId="264E541E" w:rsidR="00806083" w:rsidRPr="004C67A6" w:rsidRDefault="00806083" w:rsidP="002C2594">
      <w:pPr>
        <w:jc w:val="center"/>
        <w:rPr>
          <w:rFonts w:ascii="Tahoma" w:hAnsi="Tahoma" w:cs="Tahoma"/>
          <w:sz w:val="20"/>
          <w:szCs w:val="20"/>
        </w:rPr>
      </w:pPr>
      <w:r w:rsidRPr="004C67A6">
        <w:rPr>
          <w:rFonts w:ascii="Tahoma" w:hAnsi="Tahoma" w:cs="Tahoma"/>
          <w:sz w:val="20"/>
          <w:szCs w:val="20"/>
        </w:rPr>
        <w:t>4</w:t>
      </w:r>
      <w:r w:rsidRPr="004C67A6">
        <w:rPr>
          <w:rFonts w:ascii="Tahoma" w:hAnsi="Tahoma" w:cs="Tahoma"/>
          <w:sz w:val="20"/>
          <w:szCs w:val="20"/>
          <w:vertAlign w:val="superscript"/>
        </w:rPr>
        <w:t>Η</w:t>
      </w:r>
      <w:r w:rsidRPr="004C67A6">
        <w:rPr>
          <w:rFonts w:ascii="Tahoma" w:hAnsi="Tahoma" w:cs="Tahoma"/>
          <w:sz w:val="20"/>
          <w:szCs w:val="20"/>
        </w:rPr>
        <w:t xml:space="preserve"> έκδοση</w:t>
      </w:r>
      <w:r w:rsidR="00E50422" w:rsidRPr="004C67A6">
        <w:rPr>
          <w:rFonts w:ascii="Tahoma" w:hAnsi="Tahoma" w:cs="Tahoma"/>
          <w:sz w:val="20"/>
          <w:szCs w:val="20"/>
        </w:rPr>
        <w:t>,</w:t>
      </w:r>
      <w:r w:rsidRPr="004C67A6">
        <w:rPr>
          <w:rFonts w:ascii="Tahoma" w:hAnsi="Tahoma" w:cs="Tahoma"/>
          <w:sz w:val="20"/>
          <w:szCs w:val="20"/>
        </w:rPr>
        <w:t xml:space="preserve"> αναθεωρημένη και πλήρως επικαιροποιημένη.</w:t>
      </w:r>
    </w:p>
    <w:p w14:paraId="4F770D61" w14:textId="43DF4896" w:rsidR="00806083" w:rsidRPr="004C67A6" w:rsidRDefault="00806083" w:rsidP="002C2594">
      <w:pPr>
        <w:jc w:val="center"/>
        <w:rPr>
          <w:rFonts w:ascii="Tahoma" w:hAnsi="Tahoma" w:cs="Tahoma"/>
          <w:sz w:val="20"/>
          <w:szCs w:val="20"/>
        </w:rPr>
      </w:pPr>
      <w:r w:rsidRPr="004C67A6">
        <w:rPr>
          <w:rFonts w:ascii="Tahoma" w:hAnsi="Tahoma" w:cs="Tahoma"/>
          <w:sz w:val="20"/>
          <w:szCs w:val="20"/>
        </w:rPr>
        <w:t>Περιλαμβάνει Πρότυπα και Διερμηνείες που έχουν εκδοθεί έως και τον Απρίλιο του 2016.</w:t>
      </w:r>
    </w:p>
    <w:p w14:paraId="4CFD6729" w14:textId="265F04F8" w:rsidR="00E50422" w:rsidRPr="004C67A6" w:rsidRDefault="00E50422" w:rsidP="002C2594">
      <w:pPr>
        <w:autoSpaceDE w:val="0"/>
        <w:autoSpaceDN w:val="0"/>
        <w:spacing w:after="120"/>
        <w:jc w:val="center"/>
        <w:rPr>
          <w:rFonts w:ascii="Tahoma" w:hAnsi="Tahoma" w:cs="Tahoma"/>
          <w:b/>
          <w:sz w:val="20"/>
          <w:szCs w:val="20"/>
        </w:rPr>
      </w:pPr>
      <w:r w:rsidRPr="004C67A6">
        <w:rPr>
          <w:rFonts w:ascii="Tahoma" w:hAnsi="Tahoma" w:cs="Tahoma"/>
          <w:b/>
          <w:sz w:val="20"/>
          <w:szCs w:val="20"/>
        </w:rPr>
        <w:t xml:space="preserve">© </w:t>
      </w:r>
      <w:r w:rsidRPr="004C67A6">
        <w:rPr>
          <w:rFonts w:ascii="Tahoma" w:hAnsi="Tahoma" w:cs="Tahoma"/>
          <w:b/>
          <w:sz w:val="20"/>
          <w:szCs w:val="20"/>
          <w:lang w:val="en-US"/>
        </w:rPr>
        <w:t>Copyright</w:t>
      </w:r>
      <w:r w:rsidRPr="004C67A6">
        <w:rPr>
          <w:rFonts w:ascii="Tahoma" w:hAnsi="Tahoma" w:cs="Tahoma"/>
          <w:sz w:val="20"/>
          <w:szCs w:val="20"/>
        </w:rPr>
        <w:t xml:space="preserve"> για την πρωτότυπη ελληνική έκδοση: </w:t>
      </w:r>
      <w:r w:rsidRPr="004C67A6">
        <w:rPr>
          <w:rFonts w:ascii="Tahoma" w:hAnsi="Tahoma" w:cs="Tahoma"/>
          <w:b/>
          <w:sz w:val="20"/>
          <w:szCs w:val="20"/>
          <w:lang w:val="en-US"/>
        </w:rPr>
        <w:t>Grant</w:t>
      </w:r>
      <w:r w:rsidRPr="004C67A6">
        <w:rPr>
          <w:rFonts w:ascii="Tahoma" w:hAnsi="Tahoma" w:cs="Tahoma"/>
          <w:b/>
          <w:sz w:val="20"/>
          <w:szCs w:val="20"/>
        </w:rPr>
        <w:t xml:space="preserve"> </w:t>
      </w:r>
      <w:r w:rsidRPr="004C67A6">
        <w:rPr>
          <w:rFonts w:ascii="Tahoma" w:hAnsi="Tahoma" w:cs="Tahoma"/>
          <w:b/>
          <w:sz w:val="20"/>
          <w:szCs w:val="20"/>
          <w:lang w:val="en-US"/>
        </w:rPr>
        <w:t>Thornton</w:t>
      </w:r>
      <w:r w:rsidRPr="004C67A6">
        <w:rPr>
          <w:rFonts w:ascii="Tahoma" w:hAnsi="Tahoma" w:cs="Tahoma"/>
          <w:b/>
          <w:sz w:val="20"/>
          <w:szCs w:val="20"/>
        </w:rPr>
        <w:t xml:space="preserve"> </w:t>
      </w:r>
      <w:r w:rsidRPr="004C67A6">
        <w:rPr>
          <w:rFonts w:ascii="Tahoma" w:hAnsi="Tahoma" w:cs="Tahoma"/>
          <w:b/>
          <w:sz w:val="20"/>
          <w:szCs w:val="20"/>
          <w:lang w:val="en-US"/>
        </w:rPr>
        <w:t>AE</w:t>
      </w:r>
    </w:p>
    <w:p w14:paraId="56B767B4" w14:textId="26796E99" w:rsidR="00806083" w:rsidRPr="004C67A6" w:rsidRDefault="00EC65D1" w:rsidP="00EB2CFD">
      <w:pPr>
        <w:jc w:val="both"/>
        <w:rPr>
          <w:rFonts w:ascii="Tahoma" w:hAnsi="Tahoma" w:cs="Tahoma"/>
          <w:sz w:val="20"/>
          <w:szCs w:val="20"/>
        </w:rPr>
      </w:pPr>
      <w:r w:rsidRPr="00EC65D1">
        <w:rPr>
          <w:rFonts w:ascii="Tahoma" w:hAnsi="Tahoma" w:cs="Tahoma"/>
          <w:b/>
          <w:sz w:val="20"/>
          <w:szCs w:val="20"/>
        </w:rPr>
        <w:t>Αναθεωρημένη</w:t>
      </w:r>
      <w:r w:rsidR="00806083" w:rsidRPr="00EC65D1">
        <w:rPr>
          <w:rFonts w:ascii="Tahoma" w:hAnsi="Tahoma" w:cs="Tahoma"/>
          <w:b/>
          <w:sz w:val="20"/>
          <w:szCs w:val="20"/>
        </w:rPr>
        <w:t xml:space="preserve"> και π</w:t>
      </w:r>
      <w:r w:rsidRPr="00EC65D1">
        <w:rPr>
          <w:rFonts w:ascii="Tahoma" w:hAnsi="Tahoma" w:cs="Tahoma"/>
          <w:b/>
          <w:sz w:val="20"/>
          <w:szCs w:val="20"/>
        </w:rPr>
        <w:t>λήρως επικαιροποιημένη</w:t>
      </w:r>
      <w:r>
        <w:rPr>
          <w:rFonts w:ascii="Tahoma" w:hAnsi="Tahoma" w:cs="Tahoma"/>
          <w:sz w:val="20"/>
          <w:szCs w:val="20"/>
        </w:rPr>
        <w:t xml:space="preserve"> η παρούσα</w:t>
      </w:r>
      <w:r w:rsidR="00E50422" w:rsidRPr="004C67A6">
        <w:rPr>
          <w:rFonts w:ascii="Tahoma" w:hAnsi="Tahoma" w:cs="Tahoma"/>
          <w:sz w:val="20"/>
          <w:szCs w:val="20"/>
        </w:rPr>
        <w:t xml:space="preserve"> έκδοση</w:t>
      </w:r>
      <w:r w:rsidR="00806083" w:rsidRPr="004C67A6">
        <w:rPr>
          <w:rFonts w:ascii="Tahoma" w:hAnsi="Tahoma" w:cs="Tahoma"/>
          <w:sz w:val="20"/>
          <w:szCs w:val="20"/>
        </w:rPr>
        <w:t xml:space="preserve"> εξετά</w:t>
      </w:r>
      <w:r w:rsidR="00E50422" w:rsidRPr="004C67A6">
        <w:rPr>
          <w:rFonts w:ascii="Tahoma" w:hAnsi="Tahoma" w:cs="Tahoma"/>
          <w:sz w:val="20"/>
          <w:szCs w:val="20"/>
        </w:rPr>
        <w:t>ζ</w:t>
      </w:r>
      <w:r w:rsidR="00806083" w:rsidRPr="004C67A6">
        <w:rPr>
          <w:rFonts w:ascii="Tahoma" w:hAnsi="Tahoma" w:cs="Tahoma"/>
          <w:sz w:val="20"/>
          <w:szCs w:val="20"/>
        </w:rPr>
        <w:t>ει από θεωρητική και πρακτική πλευρά τον τρόπο εφαρμογής των ΔΠΧΑ και</w:t>
      </w:r>
      <w:r w:rsidR="00E50422" w:rsidRPr="004C67A6">
        <w:rPr>
          <w:rFonts w:ascii="Tahoma" w:hAnsi="Tahoma" w:cs="Tahoma"/>
          <w:sz w:val="20"/>
          <w:szCs w:val="20"/>
        </w:rPr>
        <w:t xml:space="preserve"> αποτελεί</w:t>
      </w:r>
      <w:r w:rsidR="00806083" w:rsidRPr="004C67A6">
        <w:rPr>
          <w:rFonts w:ascii="Tahoma" w:hAnsi="Tahoma" w:cs="Tahoma"/>
          <w:sz w:val="20"/>
          <w:szCs w:val="20"/>
        </w:rPr>
        <w:t xml:space="preserve"> ένα χρήσιμο βοήθημα για την εφαρμογή τους στην πράξη, ανταποκρινόμενο στα βασικά ερωτήματα και στα πιθανά προβλήματα που</w:t>
      </w:r>
      <w:r w:rsidR="00E50422" w:rsidRPr="004C67A6">
        <w:rPr>
          <w:rFonts w:ascii="Tahoma" w:hAnsi="Tahoma" w:cs="Tahoma"/>
          <w:sz w:val="20"/>
          <w:szCs w:val="20"/>
        </w:rPr>
        <w:t xml:space="preserve"> ανακύπτουν. Α</w:t>
      </w:r>
      <w:r w:rsidR="00806083" w:rsidRPr="004C67A6">
        <w:rPr>
          <w:rFonts w:ascii="Tahoma" w:hAnsi="Tahoma" w:cs="Tahoma"/>
          <w:sz w:val="20"/>
          <w:szCs w:val="20"/>
        </w:rPr>
        <w:t>ποτελ</w:t>
      </w:r>
      <w:r w:rsidR="00E50422" w:rsidRPr="004C67A6">
        <w:rPr>
          <w:rFonts w:ascii="Tahoma" w:hAnsi="Tahoma" w:cs="Tahoma"/>
          <w:sz w:val="20"/>
          <w:szCs w:val="20"/>
        </w:rPr>
        <w:t xml:space="preserve">εί </w:t>
      </w:r>
      <w:r w:rsidR="00806083" w:rsidRPr="004C67A6">
        <w:rPr>
          <w:rFonts w:ascii="Tahoma" w:hAnsi="Tahoma" w:cs="Tahoma"/>
          <w:sz w:val="20"/>
          <w:szCs w:val="20"/>
        </w:rPr>
        <w:t>σημαντικό βοήθημα για τις επιχειρήσεις που παρουσιάζουν τις Οικονομικές τους Καταστάσεις σύμφωνα με τα ΔΠΧΑ, αλλά και για τις ελληνικές επιχειρήσεις που δεν έχουν υιοθετήσει τα ΔΠΧΑ, αλλά εφαρμόζουν πλέον τα νέα Ελληνικά Λογιστικά Πρότυπα</w:t>
      </w:r>
      <w:r w:rsidR="00E50422" w:rsidRPr="004C67A6">
        <w:rPr>
          <w:rFonts w:ascii="Tahoma" w:hAnsi="Tahoma" w:cs="Tahoma"/>
          <w:sz w:val="20"/>
          <w:szCs w:val="20"/>
        </w:rPr>
        <w:t xml:space="preserve">, </w:t>
      </w:r>
      <w:r w:rsidR="00806083" w:rsidRPr="004C67A6">
        <w:rPr>
          <w:rFonts w:ascii="Tahoma" w:hAnsi="Tahoma" w:cs="Tahoma"/>
          <w:sz w:val="20"/>
          <w:szCs w:val="20"/>
        </w:rPr>
        <w:t xml:space="preserve">καθώς </w:t>
      </w:r>
      <w:r w:rsidR="00E50422" w:rsidRPr="004C67A6">
        <w:rPr>
          <w:rFonts w:ascii="Tahoma" w:hAnsi="Tahoma" w:cs="Tahoma"/>
          <w:sz w:val="20"/>
          <w:szCs w:val="20"/>
        </w:rPr>
        <w:t xml:space="preserve">αυτά </w:t>
      </w:r>
      <w:r w:rsidR="00806083" w:rsidRPr="004C67A6">
        <w:rPr>
          <w:rFonts w:ascii="Tahoma" w:hAnsi="Tahoma" w:cs="Tahoma"/>
          <w:sz w:val="20"/>
          <w:szCs w:val="20"/>
        </w:rPr>
        <w:t>παρουσιάζουν σε αρκετά σημεία ομοιότη</w:t>
      </w:r>
      <w:r w:rsidR="00E50422" w:rsidRPr="004C67A6">
        <w:rPr>
          <w:rFonts w:ascii="Tahoma" w:hAnsi="Tahoma" w:cs="Tahoma"/>
          <w:sz w:val="20"/>
          <w:szCs w:val="20"/>
        </w:rPr>
        <w:t>τες με τα ΔΠΧΑ</w:t>
      </w:r>
      <w:r w:rsidR="00806083" w:rsidRPr="004C67A6">
        <w:rPr>
          <w:rFonts w:ascii="Tahoma" w:hAnsi="Tahoma" w:cs="Tahoma"/>
          <w:sz w:val="20"/>
          <w:szCs w:val="20"/>
        </w:rPr>
        <w:t>.</w:t>
      </w:r>
    </w:p>
    <w:p w14:paraId="66D7C83C" w14:textId="66B59F57" w:rsidR="00806083" w:rsidRPr="004C67A6" w:rsidRDefault="00E50422" w:rsidP="002C2594">
      <w:pPr>
        <w:tabs>
          <w:tab w:val="left" w:pos="5245"/>
        </w:tabs>
        <w:spacing w:before="100" w:beforeAutospacing="1" w:after="100" w:afterAutospacing="1"/>
        <w:jc w:val="both"/>
        <w:rPr>
          <w:rFonts w:ascii="Tahoma" w:hAnsi="Tahoma" w:cs="Tahoma"/>
          <w:sz w:val="20"/>
          <w:szCs w:val="20"/>
        </w:rPr>
      </w:pPr>
      <w:r w:rsidRPr="00EC65D1">
        <w:rPr>
          <w:rFonts w:ascii="Tahoma" w:hAnsi="Tahoma" w:cs="Tahoma"/>
          <w:b/>
          <w:sz w:val="20"/>
          <w:szCs w:val="20"/>
        </w:rPr>
        <w:t>Α</w:t>
      </w:r>
      <w:r w:rsidR="00806083" w:rsidRPr="00EC65D1">
        <w:rPr>
          <w:rFonts w:ascii="Tahoma" w:hAnsi="Tahoma" w:cs="Tahoma"/>
          <w:b/>
          <w:sz w:val="20"/>
          <w:szCs w:val="20"/>
        </w:rPr>
        <w:t>ποτελείται από 45 κεφάλαια</w:t>
      </w:r>
      <w:r w:rsidR="00E2617F">
        <w:rPr>
          <w:rFonts w:ascii="Tahoma" w:hAnsi="Tahoma" w:cs="Tahoma"/>
          <w:sz w:val="20"/>
          <w:szCs w:val="20"/>
        </w:rPr>
        <w:t xml:space="preserve"> στα οποία αναλύονται τα</w:t>
      </w:r>
      <w:r w:rsidR="00806083" w:rsidRPr="004C67A6">
        <w:rPr>
          <w:rFonts w:ascii="Tahoma" w:hAnsi="Tahoma" w:cs="Tahoma"/>
          <w:sz w:val="20"/>
          <w:szCs w:val="20"/>
        </w:rPr>
        <w:t xml:space="preserve"> Διεθνή Λογιστικά Πρότυπα (ΔΛΠ), τα Διεθνή Πρότυπα Χρηματοοικονομικής Αναφοράς (ΔΠΧΑ), οι αναθεωρήσεις και οι τροποποιήσει</w:t>
      </w:r>
      <w:r w:rsidR="00E2617F">
        <w:rPr>
          <w:rFonts w:ascii="Tahoma" w:hAnsi="Tahoma" w:cs="Tahoma"/>
          <w:sz w:val="20"/>
          <w:szCs w:val="20"/>
        </w:rPr>
        <w:t xml:space="preserve">ς αυτών, καθώς και οι </w:t>
      </w:r>
      <w:r w:rsidR="00806083" w:rsidRPr="004C67A6">
        <w:rPr>
          <w:rFonts w:ascii="Tahoma" w:hAnsi="Tahoma" w:cs="Tahoma"/>
          <w:sz w:val="20"/>
          <w:szCs w:val="20"/>
        </w:rPr>
        <w:t xml:space="preserve">Διερμηνείες των Διεθνών Λογιστικών Προτύπων (ΜΕΔ) και των Διεθνών Προτύπων Χρηματοοικονομικής Αναφοράς (ΕΔΔΠΧΑ) που έχουν εκδοθεί έως </w:t>
      </w:r>
      <w:r w:rsidR="004C67A6" w:rsidRPr="004C67A6">
        <w:rPr>
          <w:rFonts w:ascii="Tahoma" w:hAnsi="Tahoma" w:cs="Tahoma"/>
          <w:sz w:val="20"/>
          <w:szCs w:val="20"/>
        </w:rPr>
        <w:t xml:space="preserve">και </w:t>
      </w:r>
      <w:r w:rsidR="00806083" w:rsidRPr="004C67A6">
        <w:rPr>
          <w:rFonts w:ascii="Tahoma" w:hAnsi="Tahoma" w:cs="Tahoma"/>
          <w:sz w:val="20"/>
          <w:szCs w:val="20"/>
        </w:rPr>
        <w:t>την 3</w:t>
      </w:r>
      <w:r w:rsidRPr="004C67A6">
        <w:rPr>
          <w:rFonts w:ascii="Tahoma" w:hAnsi="Tahoma" w:cs="Tahoma"/>
          <w:sz w:val="20"/>
          <w:szCs w:val="20"/>
        </w:rPr>
        <w:t>0</w:t>
      </w:r>
      <w:r w:rsidR="00806083" w:rsidRPr="004C67A6">
        <w:rPr>
          <w:rFonts w:ascii="Tahoma" w:hAnsi="Tahoma" w:cs="Tahoma"/>
          <w:sz w:val="20"/>
          <w:szCs w:val="20"/>
        </w:rPr>
        <w:t>/0</w:t>
      </w:r>
      <w:r w:rsidRPr="004C67A6">
        <w:rPr>
          <w:rFonts w:ascii="Tahoma" w:hAnsi="Tahoma" w:cs="Tahoma"/>
          <w:sz w:val="20"/>
          <w:szCs w:val="20"/>
        </w:rPr>
        <w:t>4</w:t>
      </w:r>
      <w:r w:rsidR="00806083" w:rsidRPr="004C67A6">
        <w:rPr>
          <w:rFonts w:ascii="Tahoma" w:hAnsi="Tahoma" w:cs="Tahoma"/>
          <w:sz w:val="20"/>
          <w:szCs w:val="20"/>
        </w:rPr>
        <w:t xml:space="preserve">/2016. </w:t>
      </w:r>
    </w:p>
    <w:p w14:paraId="5FC78140" w14:textId="44C74074" w:rsidR="008D0378" w:rsidRDefault="008D0378" w:rsidP="002C2594">
      <w:pPr>
        <w:spacing w:before="100" w:beforeAutospacing="1" w:after="100" w:afterAutospacing="1"/>
        <w:jc w:val="both"/>
        <w:rPr>
          <w:rFonts w:ascii="Tahoma" w:hAnsi="Tahoma" w:cs="Tahoma"/>
          <w:sz w:val="20"/>
          <w:szCs w:val="20"/>
        </w:rPr>
      </w:pPr>
      <w:r w:rsidRPr="004C67A6">
        <w:rPr>
          <w:rFonts w:ascii="Tahoma" w:hAnsi="Tahoma" w:cs="Tahoma"/>
          <w:b/>
          <w:sz w:val="20"/>
          <w:szCs w:val="20"/>
        </w:rPr>
        <w:t>Σκοπός του κάθε κεφαλαίου είναι:</w:t>
      </w:r>
      <w:r w:rsidR="00EC65D1">
        <w:rPr>
          <w:rFonts w:ascii="Tahoma" w:hAnsi="Tahoma" w:cs="Tahoma"/>
          <w:b/>
          <w:sz w:val="20"/>
          <w:szCs w:val="20"/>
        </w:rPr>
        <w:t xml:space="preserve"> </w:t>
      </w:r>
      <w:r w:rsidR="00EC65D1" w:rsidRPr="00EC65D1">
        <w:rPr>
          <w:rFonts w:ascii="Tahoma" w:hAnsi="Tahoma" w:cs="Tahoma"/>
          <w:b/>
          <w:sz w:val="20"/>
          <w:szCs w:val="20"/>
        </w:rPr>
        <w:t>α.</w:t>
      </w:r>
      <w:r w:rsidR="00EC65D1">
        <w:rPr>
          <w:rFonts w:ascii="Tahoma" w:hAnsi="Tahoma" w:cs="Tahoma"/>
          <w:b/>
          <w:sz w:val="20"/>
          <w:szCs w:val="20"/>
        </w:rPr>
        <w:t xml:space="preserve"> </w:t>
      </w:r>
      <w:r w:rsidRPr="004C67A6">
        <w:rPr>
          <w:rFonts w:ascii="Tahoma" w:hAnsi="Tahoma" w:cs="Tahoma"/>
          <w:sz w:val="20"/>
          <w:szCs w:val="20"/>
        </w:rPr>
        <w:t>η κατανόηση της φιλοσοφίας του Ιδρύματος Διεθνών Προτύπων Χρηματοοικονομικής Αναφοράς (</w:t>
      </w:r>
      <w:r w:rsidRPr="004C67A6">
        <w:rPr>
          <w:rFonts w:ascii="Tahoma" w:hAnsi="Tahoma" w:cs="Tahoma"/>
          <w:sz w:val="20"/>
          <w:szCs w:val="20"/>
          <w:lang w:val="en-US"/>
        </w:rPr>
        <w:t>IFRS</w:t>
      </w:r>
      <w:r w:rsidRPr="004C67A6">
        <w:rPr>
          <w:rFonts w:ascii="Tahoma" w:hAnsi="Tahoma" w:cs="Tahoma"/>
          <w:sz w:val="20"/>
          <w:szCs w:val="20"/>
        </w:rPr>
        <w:t xml:space="preserve"> </w:t>
      </w:r>
      <w:r w:rsidRPr="004C67A6">
        <w:rPr>
          <w:rFonts w:ascii="Tahoma" w:hAnsi="Tahoma" w:cs="Tahoma"/>
          <w:sz w:val="20"/>
          <w:szCs w:val="20"/>
          <w:lang w:val="en-US"/>
        </w:rPr>
        <w:t>Foundation</w:t>
      </w:r>
      <w:r w:rsidRPr="004C67A6">
        <w:rPr>
          <w:rFonts w:ascii="Tahoma" w:hAnsi="Tahoma" w:cs="Tahoma"/>
          <w:sz w:val="20"/>
          <w:szCs w:val="20"/>
        </w:rPr>
        <w:t>) και του Συμβουλίου Διεθνών Λογιστικών Προτύπων (</w:t>
      </w:r>
      <w:r w:rsidRPr="004C67A6">
        <w:rPr>
          <w:rFonts w:ascii="Tahoma" w:hAnsi="Tahoma" w:cs="Tahoma"/>
          <w:sz w:val="20"/>
          <w:szCs w:val="20"/>
          <w:lang w:val="en-US"/>
        </w:rPr>
        <w:t>IASB</w:t>
      </w:r>
      <w:r w:rsidRPr="004C67A6">
        <w:rPr>
          <w:rFonts w:ascii="Tahoma" w:hAnsi="Tahoma" w:cs="Tahoma"/>
          <w:sz w:val="20"/>
          <w:szCs w:val="20"/>
        </w:rPr>
        <w:t>) για τη σύνταξη των Προτύπων.</w:t>
      </w:r>
      <w:r w:rsidR="00EC65D1">
        <w:rPr>
          <w:rFonts w:ascii="Tahoma" w:hAnsi="Tahoma" w:cs="Tahoma"/>
          <w:sz w:val="20"/>
          <w:szCs w:val="20"/>
        </w:rPr>
        <w:t xml:space="preserve"> </w:t>
      </w:r>
      <w:r w:rsidR="00EC65D1" w:rsidRPr="00EC65D1">
        <w:rPr>
          <w:rFonts w:ascii="Tahoma" w:hAnsi="Tahoma" w:cs="Tahoma"/>
          <w:b/>
          <w:sz w:val="20"/>
          <w:szCs w:val="20"/>
        </w:rPr>
        <w:t>β.</w:t>
      </w:r>
      <w:r w:rsidR="00EC65D1">
        <w:rPr>
          <w:rFonts w:ascii="Tahoma" w:hAnsi="Tahoma" w:cs="Tahoma"/>
          <w:sz w:val="20"/>
          <w:szCs w:val="20"/>
        </w:rPr>
        <w:t xml:space="preserve"> </w:t>
      </w:r>
      <w:r w:rsidRPr="004C67A6">
        <w:rPr>
          <w:rFonts w:ascii="Tahoma" w:hAnsi="Tahoma" w:cs="Tahoma"/>
          <w:sz w:val="20"/>
          <w:szCs w:val="20"/>
        </w:rPr>
        <w:t>η παράθεση του σκοπού και του πεδίου εφαρμογής κάθε Προτύπου.</w:t>
      </w:r>
      <w:r w:rsidR="00EC65D1">
        <w:rPr>
          <w:rFonts w:ascii="Tahoma" w:hAnsi="Tahoma" w:cs="Tahoma"/>
          <w:sz w:val="20"/>
          <w:szCs w:val="20"/>
        </w:rPr>
        <w:t xml:space="preserve"> </w:t>
      </w:r>
      <w:r w:rsidR="00EC65D1" w:rsidRPr="00EC65D1">
        <w:rPr>
          <w:rFonts w:ascii="Tahoma" w:hAnsi="Tahoma" w:cs="Tahoma"/>
          <w:b/>
          <w:sz w:val="20"/>
          <w:szCs w:val="20"/>
        </w:rPr>
        <w:t>γ.</w:t>
      </w:r>
      <w:r w:rsidR="00EC65D1">
        <w:rPr>
          <w:rFonts w:ascii="Tahoma" w:hAnsi="Tahoma" w:cs="Tahoma"/>
          <w:sz w:val="20"/>
          <w:szCs w:val="20"/>
        </w:rPr>
        <w:t xml:space="preserve"> </w:t>
      </w:r>
      <w:r w:rsidRPr="004C67A6">
        <w:rPr>
          <w:rFonts w:ascii="Tahoma" w:hAnsi="Tahoma" w:cs="Tahoma"/>
          <w:sz w:val="20"/>
          <w:szCs w:val="20"/>
        </w:rPr>
        <w:t>η σύνδεση μεταξύ των απαιτήσεων διαφορετικών Προτύπων και η αλληλοκάλυψή τους.</w:t>
      </w:r>
      <w:r w:rsidR="00EC65D1">
        <w:rPr>
          <w:rFonts w:ascii="Tahoma" w:hAnsi="Tahoma" w:cs="Tahoma"/>
          <w:sz w:val="20"/>
          <w:szCs w:val="20"/>
        </w:rPr>
        <w:t xml:space="preserve"> </w:t>
      </w:r>
      <w:r w:rsidR="00EC65D1" w:rsidRPr="00EC65D1">
        <w:rPr>
          <w:rFonts w:ascii="Tahoma" w:hAnsi="Tahoma" w:cs="Tahoma"/>
          <w:b/>
          <w:sz w:val="20"/>
          <w:szCs w:val="20"/>
        </w:rPr>
        <w:t>δ.</w:t>
      </w:r>
      <w:r w:rsidR="00EC65D1">
        <w:rPr>
          <w:rFonts w:ascii="Tahoma" w:hAnsi="Tahoma" w:cs="Tahoma"/>
          <w:sz w:val="20"/>
          <w:szCs w:val="20"/>
        </w:rPr>
        <w:t xml:space="preserve"> </w:t>
      </w:r>
      <w:r w:rsidRPr="004C67A6">
        <w:rPr>
          <w:rFonts w:ascii="Tahoma" w:hAnsi="Tahoma" w:cs="Tahoma"/>
          <w:sz w:val="20"/>
          <w:szCs w:val="20"/>
        </w:rPr>
        <w:t>η εκτενής ανάλυση και ερμηνεία του θεωρητικού πλαισίου και των απαιτήσεων κάθε Προτύπου.</w:t>
      </w:r>
      <w:r w:rsidR="00EC65D1">
        <w:rPr>
          <w:rFonts w:ascii="Tahoma" w:hAnsi="Tahoma" w:cs="Tahoma"/>
          <w:sz w:val="20"/>
          <w:szCs w:val="20"/>
        </w:rPr>
        <w:t xml:space="preserve"> </w:t>
      </w:r>
      <w:r w:rsidR="00EC65D1" w:rsidRPr="00EC65D1">
        <w:rPr>
          <w:rFonts w:ascii="Tahoma" w:hAnsi="Tahoma" w:cs="Tahoma"/>
          <w:b/>
          <w:sz w:val="20"/>
          <w:szCs w:val="20"/>
        </w:rPr>
        <w:t>ε.</w:t>
      </w:r>
      <w:r w:rsidR="00EC65D1">
        <w:rPr>
          <w:rFonts w:ascii="Tahoma" w:hAnsi="Tahoma" w:cs="Tahoma"/>
          <w:sz w:val="20"/>
          <w:szCs w:val="20"/>
        </w:rPr>
        <w:t xml:space="preserve"> </w:t>
      </w:r>
      <w:r w:rsidRPr="004C67A6">
        <w:rPr>
          <w:rFonts w:ascii="Tahoma" w:hAnsi="Tahoma" w:cs="Tahoma"/>
          <w:sz w:val="20"/>
          <w:szCs w:val="20"/>
        </w:rPr>
        <w:t>η παρουσίαση των απαιτούμενων γνωστοποιήσεων στις Επεξηγηματικές Σημειώσεις των Οικονομικών Καταστάσεων.</w:t>
      </w:r>
      <w:r w:rsidR="00EC65D1">
        <w:rPr>
          <w:rFonts w:ascii="Tahoma" w:hAnsi="Tahoma" w:cs="Tahoma"/>
          <w:sz w:val="20"/>
          <w:szCs w:val="20"/>
        </w:rPr>
        <w:t xml:space="preserve"> </w:t>
      </w:r>
      <w:r w:rsidR="00EC65D1" w:rsidRPr="00EC65D1">
        <w:rPr>
          <w:rFonts w:ascii="Tahoma" w:hAnsi="Tahoma" w:cs="Tahoma"/>
          <w:b/>
          <w:sz w:val="20"/>
          <w:szCs w:val="20"/>
        </w:rPr>
        <w:t>στ.</w:t>
      </w:r>
      <w:r w:rsidR="00EC65D1">
        <w:rPr>
          <w:rFonts w:ascii="Tahoma" w:hAnsi="Tahoma" w:cs="Tahoma"/>
          <w:sz w:val="20"/>
          <w:szCs w:val="20"/>
        </w:rPr>
        <w:t xml:space="preserve"> </w:t>
      </w:r>
      <w:r w:rsidRPr="004C67A6">
        <w:rPr>
          <w:rFonts w:ascii="Tahoma" w:hAnsi="Tahoma" w:cs="Tahoma"/>
          <w:sz w:val="20"/>
          <w:szCs w:val="20"/>
        </w:rPr>
        <w:t>η παρουσίαση πρακτικών παραδειγμάτων ως μέσο καλύτερης κατανόησης της θεωρίας.</w:t>
      </w:r>
      <w:r w:rsidR="00EC65D1">
        <w:rPr>
          <w:rFonts w:ascii="Tahoma" w:hAnsi="Tahoma" w:cs="Tahoma"/>
          <w:sz w:val="20"/>
          <w:szCs w:val="20"/>
        </w:rPr>
        <w:t xml:space="preserve"> </w:t>
      </w:r>
      <w:r w:rsidR="00EC65D1" w:rsidRPr="00EC65D1">
        <w:rPr>
          <w:rFonts w:ascii="Tahoma" w:hAnsi="Tahoma" w:cs="Tahoma"/>
          <w:b/>
          <w:sz w:val="20"/>
          <w:szCs w:val="20"/>
        </w:rPr>
        <w:t>ζ.</w:t>
      </w:r>
      <w:r w:rsidR="00EC65D1">
        <w:rPr>
          <w:rFonts w:ascii="Tahoma" w:hAnsi="Tahoma" w:cs="Tahoma"/>
          <w:sz w:val="20"/>
          <w:szCs w:val="20"/>
        </w:rPr>
        <w:t xml:space="preserve"> </w:t>
      </w:r>
      <w:r w:rsidRPr="004C67A6">
        <w:rPr>
          <w:rFonts w:ascii="Tahoma" w:hAnsi="Tahoma" w:cs="Tahoma"/>
          <w:sz w:val="20"/>
          <w:szCs w:val="20"/>
        </w:rPr>
        <w:t>η παρουσίαση σύνθετων πρακτικών παραδειγμάτων που έχουν αντιμετωπιστεί στην πράξη από ελληνικές και διεθνείς επιχειρήσεις.</w:t>
      </w:r>
      <w:r w:rsidR="00630044">
        <w:rPr>
          <w:rFonts w:ascii="Tahoma" w:hAnsi="Tahoma" w:cs="Tahoma"/>
          <w:sz w:val="20"/>
          <w:szCs w:val="20"/>
        </w:rPr>
        <w:t xml:space="preserve"> </w:t>
      </w:r>
    </w:p>
    <w:p w14:paraId="2921F120" w14:textId="339111AF" w:rsidR="00134BD5" w:rsidRPr="00067803" w:rsidRDefault="00630044" w:rsidP="002C2594">
      <w:pPr>
        <w:autoSpaceDE w:val="0"/>
        <w:autoSpaceDN w:val="0"/>
        <w:spacing w:after="100" w:afterAutospacing="1"/>
        <w:jc w:val="center"/>
        <w:rPr>
          <w:rFonts w:asciiTheme="minorHAnsi" w:hAnsiTheme="minorHAnsi"/>
          <w:b/>
          <w:sz w:val="26"/>
          <w:szCs w:val="26"/>
        </w:rPr>
      </w:pPr>
      <w:r w:rsidRPr="00067803">
        <w:rPr>
          <w:rFonts w:asciiTheme="minorHAnsi" w:hAnsiTheme="minorHAnsi"/>
          <w:b/>
          <w:sz w:val="26"/>
          <w:szCs w:val="26"/>
        </w:rPr>
        <w:t xml:space="preserve">ΚΥΚΛΟΦΟΡΕΙ ΣΕ ΟΛΑ ΤΑ ΒΙΒΛΙΟΠΩΛΕΙΑ - ΚΕΝΤΡΙΚΗ ΔΙΑΘΕΣΗ: </w:t>
      </w:r>
      <w:r w:rsidR="000B18AC">
        <w:rPr>
          <w:rFonts w:asciiTheme="minorHAnsi" w:hAnsiTheme="minorHAnsi"/>
          <w:b/>
          <w:sz w:val="26"/>
          <w:szCs w:val="26"/>
        </w:rPr>
        <w:br/>
        <w:t>Μοτίβο Εκδοτική Α</w:t>
      </w:r>
      <w:r w:rsidR="000B18AC" w:rsidRPr="000B18AC">
        <w:rPr>
          <w:rFonts w:asciiTheme="minorHAnsi" w:hAnsiTheme="minorHAnsi"/>
          <w:b/>
          <w:sz w:val="26"/>
          <w:szCs w:val="26"/>
        </w:rPr>
        <w:t>.</w:t>
      </w:r>
      <w:r w:rsidR="000B18AC">
        <w:rPr>
          <w:rFonts w:asciiTheme="minorHAnsi" w:hAnsiTheme="minorHAnsi"/>
          <w:b/>
          <w:sz w:val="26"/>
          <w:szCs w:val="26"/>
        </w:rPr>
        <w:t>Ε</w:t>
      </w:r>
      <w:r w:rsidR="000B18AC" w:rsidRPr="000B18AC">
        <w:rPr>
          <w:rFonts w:asciiTheme="minorHAnsi" w:hAnsiTheme="minorHAnsi"/>
          <w:b/>
          <w:sz w:val="26"/>
          <w:szCs w:val="26"/>
        </w:rPr>
        <w:t>.:</w:t>
      </w:r>
      <w:r w:rsidR="000B18AC">
        <w:rPr>
          <w:rFonts w:asciiTheme="minorHAnsi" w:hAnsiTheme="minorHAnsi"/>
          <w:b/>
          <w:sz w:val="26"/>
          <w:szCs w:val="26"/>
        </w:rPr>
        <w:t xml:space="preserve"> 210-3221</w:t>
      </w:r>
      <w:bookmarkStart w:id="0" w:name="_GoBack"/>
      <w:bookmarkEnd w:id="0"/>
      <w:r w:rsidR="000B18AC">
        <w:rPr>
          <w:rFonts w:asciiTheme="minorHAnsi" w:hAnsiTheme="minorHAnsi"/>
          <w:b/>
          <w:sz w:val="26"/>
          <w:szCs w:val="26"/>
        </w:rPr>
        <w:t>580, 210-8222835</w:t>
      </w:r>
    </w:p>
    <w:p w14:paraId="3F4A6C23" w14:textId="162C2DAC" w:rsidR="008C4819" w:rsidRPr="000B18AC" w:rsidRDefault="008C4819" w:rsidP="002C2594">
      <w:pPr>
        <w:autoSpaceDE w:val="0"/>
        <w:autoSpaceDN w:val="0"/>
        <w:spacing w:after="100" w:afterAutospacing="1"/>
        <w:rPr>
          <w:rFonts w:asciiTheme="minorHAnsi" w:hAnsiTheme="minorHAnsi"/>
        </w:rPr>
      </w:pPr>
      <w:r>
        <w:rPr>
          <w:rFonts w:ascii="Tahoma" w:hAnsi="Tahoma" w:cs="Tahoma"/>
          <w:b/>
          <w:color w:val="5F497A" w:themeColor="accent4" w:themeShade="BF"/>
          <w:sz w:val="18"/>
          <w:szCs w:val="18"/>
        </w:rPr>
        <w:t xml:space="preserve">Η </w:t>
      </w:r>
      <w:r>
        <w:rPr>
          <w:rFonts w:ascii="Tahoma" w:hAnsi="Tahoma" w:cs="Tahoma"/>
          <w:b/>
          <w:color w:val="5F497A" w:themeColor="accent4" w:themeShade="BF"/>
          <w:sz w:val="18"/>
          <w:szCs w:val="18"/>
          <w:lang w:val="en-US"/>
        </w:rPr>
        <w:t>Grant</w:t>
      </w:r>
      <w:r w:rsidRPr="008C4819">
        <w:rPr>
          <w:rFonts w:ascii="Tahoma" w:hAnsi="Tahoma" w:cs="Tahoma"/>
          <w:b/>
          <w:color w:val="5F497A" w:themeColor="accent4" w:themeShade="BF"/>
          <w:sz w:val="18"/>
          <w:szCs w:val="18"/>
        </w:rPr>
        <w:t xml:space="preserve"> </w:t>
      </w:r>
      <w:r>
        <w:rPr>
          <w:rFonts w:ascii="Tahoma" w:hAnsi="Tahoma" w:cs="Tahoma"/>
          <w:b/>
          <w:color w:val="5F497A" w:themeColor="accent4" w:themeShade="BF"/>
          <w:sz w:val="18"/>
          <w:szCs w:val="18"/>
          <w:lang w:val="en-US"/>
        </w:rPr>
        <w:t>Thornton</w:t>
      </w:r>
      <w:r w:rsidRPr="008C4819">
        <w:rPr>
          <w:rFonts w:ascii="Tahoma" w:hAnsi="Tahoma" w:cs="Tahoma"/>
          <w:b/>
          <w:color w:val="5F497A" w:themeColor="accent4" w:themeShade="BF"/>
          <w:sz w:val="18"/>
          <w:szCs w:val="18"/>
        </w:rPr>
        <w:t xml:space="preserve"> </w:t>
      </w:r>
    </w:p>
    <w:p w14:paraId="25234546" w14:textId="3A074397" w:rsidR="008C4819" w:rsidRDefault="008C4819" w:rsidP="002C2594">
      <w:pPr>
        <w:autoSpaceDE w:val="0"/>
        <w:autoSpaceDN w:val="0"/>
        <w:spacing w:after="100" w:afterAutospacing="1"/>
        <w:jc w:val="both"/>
        <w:rPr>
          <w:rFonts w:ascii="Tahoma" w:hAnsi="Tahoma" w:cs="Tahoma"/>
          <w:sz w:val="18"/>
          <w:szCs w:val="18"/>
        </w:rPr>
      </w:pPr>
      <w:r>
        <w:rPr>
          <w:rFonts w:ascii="Tahoma" w:hAnsi="Tahoma" w:cs="Tahoma"/>
          <w:sz w:val="18"/>
          <w:szCs w:val="18"/>
        </w:rPr>
        <w:t xml:space="preserve">Η </w:t>
      </w:r>
      <w:r>
        <w:rPr>
          <w:rFonts w:ascii="Tahoma" w:hAnsi="Tahoma" w:cs="Tahoma"/>
          <w:sz w:val="18"/>
          <w:szCs w:val="18"/>
          <w:lang w:val="en-US"/>
        </w:rPr>
        <w:t>Grant</w:t>
      </w:r>
      <w:r w:rsidRPr="008C4819">
        <w:rPr>
          <w:rFonts w:ascii="Tahoma" w:hAnsi="Tahoma" w:cs="Tahoma"/>
          <w:sz w:val="18"/>
          <w:szCs w:val="18"/>
        </w:rPr>
        <w:t xml:space="preserve"> </w:t>
      </w:r>
      <w:r>
        <w:rPr>
          <w:rFonts w:ascii="Tahoma" w:hAnsi="Tahoma" w:cs="Tahoma"/>
          <w:sz w:val="18"/>
          <w:szCs w:val="18"/>
          <w:lang w:val="en-US"/>
        </w:rPr>
        <w:t>Thornton</w:t>
      </w:r>
      <w:r>
        <w:rPr>
          <w:rFonts w:ascii="Tahoma" w:hAnsi="Tahoma" w:cs="Tahoma"/>
          <w:sz w:val="18"/>
          <w:szCs w:val="18"/>
        </w:rPr>
        <w:t xml:space="preserve"> είναι ένας πραγματικά παγκόσμιος οργανισμός, με πάνω από 42.000 άτομα σε 140 χώρες, που βοηθά δυναμικές επιχειρήσεις να ξεκλειδώσουν τις δυνατότητές τους για ανάπτυξη. </w:t>
      </w:r>
      <w:r w:rsidR="00E62CA0">
        <w:rPr>
          <w:rFonts w:ascii="Tahoma" w:hAnsi="Tahoma" w:cs="Tahoma"/>
          <w:sz w:val="18"/>
          <w:szCs w:val="18"/>
        </w:rPr>
        <w:t>Τ</w:t>
      </w:r>
      <w:r>
        <w:rPr>
          <w:rFonts w:ascii="Tahoma" w:hAnsi="Tahoma" w:cs="Tahoma"/>
          <w:sz w:val="18"/>
          <w:szCs w:val="18"/>
        </w:rPr>
        <w:t>ο όνομά μας, σε παγκόσμιο επίπεδο, ισοδυναμεί με έναν από τους μεγαλύτερους οίκους ανεξάρτητων εταιρειών παροχής ελεγκτικών, φορολογικών και συμβουλευτικών υπηρεσιών και το εμπιστεύονται οι αγορές κεφαλαίων, οι ρυθμιστικές αρχές και οι διεθνείς εποπτικές αρχές.</w:t>
      </w:r>
    </w:p>
    <w:p w14:paraId="55254EA4" w14:textId="77777777" w:rsidR="008C4819" w:rsidRDefault="008C4819" w:rsidP="002C2594">
      <w:pPr>
        <w:autoSpaceDE w:val="0"/>
        <w:autoSpaceDN w:val="0"/>
        <w:spacing w:after="100" w:afterAutospacing="1"/>
        <w:jc w:val="both"/>
        <w:rPr>
          <w:rFonts w:ascii="Tahoma" w:hAnsi="Tahoma" w:cs="Tahoma"/>
          <w:sz w:val="18"/>
          <w:szCs w:val="18"/>
        </w:rPr>
      </w:pPr>
      <w:r>
        <w:rPr>
          <w:rFonts w:ascii="Tahoma" w:hAnsi="Tahoma" w:cs="Tahoma"/>
          <w:sz w:val="18"/>
          <w:szCs w:val="18"/>
        </w:rPr>
        <w:t xml:space="preserve">Η </w:t>
      </w:r>
      <w:r>
        <w:rPr>
          <w:rFonts w:ascii="Tahoma" w:hAnsi="Tahoma" w:cs="Tahoma"/>
          <w:sz w:val="18"/>
          <w:szCs w:val="18"/>
          <w:lang w:val="en-US"/>
        </w:rPr>
        <w:t>Grant</w:t>
      </w:r>
      <w:r w:rsidRPr="008C4819">
        <w:rPr>
          <w:rFonts w:ascii="Tahoma" w:hAnsi="Tahoma" w:cs="Tahoma"/>
          <w:sz w:val="18"/>
          <w:szCs w:val="18"/>
        </w:rPr>
        <w:t xml:space="preserve"> </w:t>
      </w:r>
      <w:r>
        <w:rPr>
          <w:rFonts w:ascii="Tahoma" w:hAnsi="Tahoma" w:cs="Tahoma"/>
          <w:sz w:val="18"/>
          <w:szCs w:val="18"/>
          <w:lang w:val="en-US"/>
        </w:rPr>
        <w:t>Thornton</w:t>
      </w:r>
      <w:r>
        <w:rPr>
          <w:rFonts w:ascii="Tahoma" w:hAnsi="Tahoma" w:cs="Tahoma"/>
          <w:sz w:val="18"/>
          <w:szCs w:val="18"/>
        </w:rPr>
        <w:t xml:space="preserve"> στην Ελλάδα είναι μία εκ των μεγαλύτερων ελεγκτικών και συμβουλευτικών εταιρειών και προσφέρει ελεγκτικές, φορολογικές και συμβουλευτικές υπηρεσίες σε δυναμικές επιχειρήσεις. Η εταιρεία, σήμερα απασχολεί περίπου 500 άτομα προσωπικό και έχει κύκλο εργασιών € 25,2 εκατ. Με την αξιοσημείωτη ανάπτυξη που έχει πραγματοποιήσει τα τελευταία χρόνια, αποδεικνύει ότι συγκεντρώνει τα πλεονεκτήματα μίας πολυεθνικής ελεγκτικής εταιρείας, αλλά και την ιδιαίτερα καλή γνώση της ελληνικής αγοράς. Η Grant Thornton βασίζεται στην επιχειρηματολογία και στο ένστικτο, υποστηρίζοντας τους πελάτες στη λήψη ορθών επιχειρηματικών αποφάσεων και με στόχο να βοηθηθούν δυναμικές εταιρείες να ξεκλειδώσουν τις δυνατότητές τους για ανάπτυξη.</w:t>
      </w:r>
    </w:p>
    <w:p w14:paraId="33121453" w14:textId="432B75D3" w:rsidR="00886914" w:rsidRPr="00067803" w:rsidRDefault="00886914" w:rsidP="00067803">
      <w:pPr>
        <w:autoSpaceDE w:val="0"/>
        <w:autoSpaceDN w:val="0"/>
        <w:spacing w:after="100" w:afterAutospacing="1"/>
        <w:jc w:val="both"/>
        <w:rPr>
          <w:rFonts w:ascii="Tahoma" w:hAnsi="Tahoma" w:cs="Tahoma"/>
          <w:sz w:val="18"/>
          <w:szCs w:val="18"/>
        </w:rPr>
      </w:pPr>
    </w:p>
    <w:sectPr w:rsidR="00886914" w:rsidRPr="00067803" w:rsidSect="00067803">
      <w:footerReference w:type="default" r:id="rId9"/>
      <w:pgSz w:w="11906" w:h="16838"/>
      <w:pgMar w:top="851" w:right="1531" w:bottom="85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1F0CA" w14:textId="77777777" w:rsidR="00B87C63" w:rsidRDefault="00B87C63" w:rsidP="00727754">
      <w:r>
        <w:separator/>
      </w:r>
    </w:p>
  </w:endnote>
  <w:endnote w:type="continuationSeparator" w:id="0">
    <w:p w14:paraId="6F7E01D0" w14:textId="77777777" w:rsidR="00B87C63" w:rsidRDefault="00B87C63" w:rsidP="0072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Franklin Gothic Medium Cond">
    <w:panose1 w:val="020B0606030402020204"/>
    <w:charset w:val="A1"/>
    <w:family w:val="swiss"/>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wift LT Pro">
    <w:altName w:val="Arial"/>
    <w:panose1 w:val="00000000000000000000"/>
    <w:charset w:val="00"/>
    <w:family w:val="modern"/>
    <w:notTrueType/>
    <w:pitch w:val="variable"/>
    <w:sig w:usb0="00000003" w:usb1="00000042" w:usb2="00000000" w:usb3="00000000" w:csb0="00000003" w:csb1="0000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24CD6" w14:textId="77777777" w:rsidR="008D0378" w:rsidRDefault="008D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7965" w14:textId="77777777" w:rsidR="00B87C63" w:rsidRDefault="00B87C63" w:rsidP="00727754">
      <w:r>
        <w:separator/>
      </w:r>
    </w:p>
  </w:footnote>
  <w:footnote w:type="continuationSeparator" w:id="0">
    <w:p w14:paraId="0AC11611" w14:textId="77777777" w:rsidR="00B87C63" w:rsidRDefault="00B87C63" w:rsidP="00727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7720"/>
    <w:multiLevelType w:val="hybridMultilevel"/>
    <w:tmpl w:val="2A4AD92C"/>
    <w:lvl w:ilvl="0" w:tplc="B4DE36D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93464B"/>
    <w:multiLevelType w:val="hybridMultilevel"/>
    <w:tmpl w:val="F9FCE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FFF3C83"/>
    <w:multiLevelType w:val="hybridMultilevel"/>
    <w:tmpl w:val="BAA49940"/>
    <w:lvl w:ilvl="0" w:tplc="C8AC03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08546FD"/>
    <w:multiLevelType w:val="hybridMultilevel"/>
    <w:tmpl w:val="B24CC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867663C"/>
    <w:multiLevelType w:val="hybridMultilevel"/>
    <w:tmpl w:val="ADD8C87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E3"/>
    <w:rsid w:val="00021DF9"/>
    <w:rsid w:val="00030765"/>
    <w:rsid w:val="00051986"/>
    <w:rsid w:val="000668AE"/>
    <w:rsid w:val="00067803"/>
    <w:rsid w:val="00070673"/>
    <w:rsid w:val="000804D3"/>
    <w:rsid w:val="00087F8C"/>
    <w:rsid w:val="00092059"/>
    <w:rsid w:val="000A3B7E"/>
    <w:rsid w:val="000B18AC"/>
    <w:rsid w:val="000C1F35"/>
    <w:rsid w:val="000C267A"/>
    <w:rsid w:val="000C7EAB"/>
    <w:rsid w:val="000D3C96"/>
    <w:rsid w:val="000D5AEC"/>
    <w:rsid w:val="000E212C"/>
    <w:rsid w:val="000E40A4"/>
    <w:rsid w:val="000E5D28"/>
    <w:rsid w:val="000F10CD"/>
    <w:rsid w:val="00100737"/>
    <w:rsid w:val="001025DC"/>
    <w:rsid w:val="00134BD5"/>
    <w:rsid w:val="00137391"/>
    <w:rsid w:val="001476A0"/>
    <w:rsid w:val="00181E19"/>
    <w:rsid w:val="0018754F"/>
    <w:rsid w:val="00197419"/>
    <w:rsid w:val="001B6A98"/>
    <w:rsid w:val="001C7CF8"/>
    <w:rsid w:val="001D5C06"/>
    <w:rsid w:val="001E193D"/>
    <w:rsid w:val="00201FD5"/>
    <w:rsid w:val="00207027"/>
    <w:rsid w:val="00211881"/>
    <w:rsid w:val="002249DA"/>
    <w:rsid w:val="00240743"/>
    <w:rsid w:val="002506C6"/>
    <w:rsid w:val="00251BA0"/>
    <w:rsid w:val="002562DC"/>
    <w:rsid w:val="002672BE"/>
    <w:rsid w:val="00272D99"/>
    <w:rsid w:val="00284749"/>
    <w:rsid w:val="002909D1"/>
    <w:rsid w:val="002A52BA"/>
    <w:rsid w:val="002B3215"/>
    <w:rsid w:val="002C2594"/>
    <w:rsid w:val="003022D6"/>
    <w:rsid w:val="00321F7E"/>
    <w:rsid w:val="00341385"/>
    <w:rsid w:val="00344267"/>
    <w:rsid w:val="00351803"/>
    <w:rsid w:val="00360EE3"/>
    <w:rsid w:val="00370520"/>
    <w:rsid w:val="003846DF"/>
    <w:rsid w:val="003850C7"/>
    <w:rsid w:val="00391D95"/>
    <w:rsid w:val="003A15F4"/>
    <w:rsid w:val="003A43C0"/>
    <w:rsid w:val="003A50E4"/>
    <w:rsid w:val="003B0057"/>
    <w:rsid w:val="003C2FBC"/>
    <w:rsid w:val="003C339D"/>
    <w:rsid w:val="003D06EB"/>
    <w:rsid w:val="003D1A5C"/>
    <w:rsid w:val="003E394E"/>
    <w:rsid w:val="003F74C9"/>
    <w:rsid w:val="00401243"/>
    <w:rsid w:val="004012FE"/>
    <w:rsid w:val="00407449"/>
    <w:rsid w:val="00432444"/>
    <w:rsid w:val="004346E3"/>
    <w:rsid w:val="00441D85"/>
    <w:rsid w:val="00453839"/>
    <w:rsid w:val="0046101E"/>
    <w:rsid w:val="00486040"/>
    <w:rsid w:val="004B1F0F"/>
    <w:rsid w:val="004C02D2"/>
    <w:rsid w:val="004C67A6"/>
    <w:rsid w:val="004D0D72"/>
    <w:rsid w:val="004D5D3A"/>
    <w:rsid w:val="004D7E02"/>
    <w:rsid w:val="004F6A38"/>
    <w:rsid w:val="0050466E"/>
    <w:rsid w:val="00504A22"/>
    <w:rsid w:val="00512AE6"/>
    <w:rsid w:val="005366B9"/>
    <w:rsid w:val="00551C58"/>
    <w:rsid w:val="0057468E"/>
    <w:rsid w:val="00575DCF"/>
    <w:rsid w:val="005A3511"/>
    <w:rsid w:val="005B5C4A"/>
    <w:rsid w:val="005B6E31"/>
    <w:rsid w:val="005C1EFF"/>
    <w:rsid w:val="005C6D51"/>
    <w:rsid w:val="005D4B1C"/>
    <w:rsid w:val="005F1833"/>
    <w:rsid w:val="00611D68"/>
    <w:rsid w:val="00614B3B"/>
    <w:rsid w:val="00616DC0"/>
    <w:rsid w:val="006222C7"/>
    <w:rsid w:val="00630044"/>
    <w:rsid w:val="00633B84"/>
    <w:rsid w:val="006451D7"/>
    <w:rsid w:val="00650098"/>
    <w:rsid w:val="006529C2"/>
    <w:rsid w:val="00661252"/>
    <w:rsid w:val="00675998"/>
    <w:rsid w:val="006A065C"/>
    <w:rsid w:val="006C4E15"/>
    <w:rsid w:val="006C7621"/>
    <w:rsid w:val="006C7678"/>
    <w:rsid w:val="006D1D7F"/>
    <w:rsid w:val="006D3ACB"/>
    <w:rsid w:val="00700D7F"/>
    <w:rsid w:val="00711F71"/>
    <w:rsid w:val="00727754"/>
    <w:rsid w:val="00733308"/>
    <w:rsid w:val="007958A7"/>
    <w:rsid w:val="007A31A3"/>
    <w:rsid w:val="007C1F26"/>
    <w:rsid w:val="007C260C"/>
    <w:rsid w:val="007D0A39"/>
    <w:rsid w:val="007D3626"/>
    <w:rsid w:val="007F60B4"/>
    <w:rsid w:val="007F652D"/>
    <w:rsid w:val="00806083"/>
    <w:rsid w:val="0081416C"/>
    <w:rsid w:val="008208E9"/>
    <w:rsid w:val="00830FE7"/>
    <w:rsid w:val="008505C5"/>
    <w:rsid w:val="00857DB7"/>
    <w:rsid w:val="00861242"/>
    <w:rsid w:val="00865AA6"/>
    <w:rsid w:val="00886914"/>
    <w:rsid w:val="008A4274"/>
    <w:rsid w:val="008B0C4F"/>
    <w:rsid w:val="008C4819"/>
    <w:rsid w:val="008D0378"/>
    <w:rsid w:val="00900585"/>
    <w:rsid w:val="00921489"/>
    <w:rsid w:val="00931E5F"/>
    <w:rsid w:val="00935AE6"/>
    <w:rsid w:val="009479E5"/>
    <w:rsid w:val="00952078"/>
    <w:rsid w:val="0096605F"/>
    <w:rsid w:val="00980D04"/>
    <w:rsid w:val="00984B32"/>
    <w:rsid w:val="00986AAE"/>
    <w:rsid w:val="009B4E25"/>
    <w:rsid w:val="009B6FE6"/>
    <w:rsid w:val="009B7D71"/>
    <w:rsid w:val="009F24B6"/>
    <w:rsid w:val="00A00679"/>
    <w:rsid w:val="00A032C4"/>
    <w:rsid w:val="00A45B04"/>
    <w:rsid w:val="00A544B5"/>
    <w:rsid w:val="00A56E9C"/>
    <w:rsid w:val="00A637DF"/>
    <w:rsid w:val="00A667D7"/>
    <w:rsid w:val="00A74356"/>
    <w:rsid w:val="00A76EA8"/>
    <w:rsid w:val="00A77A57"/>
    <w:rsid w:val="00A82B83"/>
    <w:rsid w:val="00A83E63"/>
    <w:rsid w:val="00A853BA"/>
    <w:rsid w:val="00A86BB0"/>
    <w:rsid w:val="00A92A67"/>
    <w:rsid w:val="00A94988"/>
    <w:rsid w:val="00AA2EEE"/>
    <w:rsid w:val="00AA51A5"/>
    <w:rsid w:val="00AD13C1"/>
    <w:rsid w:val="00AE1E91"/>
    <w:rsid w:val="00B1752B"/>
    <w:rsid w:val="00B4500D"/>
    <w:rsid w:val="00B4634B"/>
    <w:rsid w:val="00B55826"/>
    <w:rsid w:val="00B708AC"/>
    <w:rsid w:val="00B8111A"/>
    <w:rsid w:val="00B86E63"/>
    <w:rsid w:val="00B87C63"/>
    <w:rsid w:val="00BA4FEC"/>
    <w:rsid w:val="00BC6DE7"/>
    <w:rsid w:val="00BD7E6D"/>
    <w:rsid w:val="00BF3348"/>
    <w:rsid w:val="00BF575E"/>
    <w:rsid w:val="00C02F0A"/>
    <w:rsid w:val="00C10323"/>
    <w:rsid w:val="00C1170C"/>
    <w:rsid w:val="00C1268D"/>
    <w:rsid w:val="00C3465D"/>
    <w:rsid w:val="00C35095"/>
    <w:rsid w:val="00C4259E"/>
    <w:rsid w:val="00C44F15"/>
    <w:rsid w:val="00C60619"/>
    <w:rsid w:val="00C70060"/>
    <w:rsid w:val="00C702A2"/>
    <w:rsid w:val="00C70BFC"/>
    <w:rsid w:val="00C85AEE"/>
    <w:rsid w:val="00C85B4E"/>
    <w:rsid w:val="00C95ABB"/>
    <w:rsid w:val="00CA7A42"/>
    <w:rsid w:val="00CC1DF2"/>
    <w:rsid w:val="00CC7038"/>
    <w:rsid w:val="00CD5480"/>
    <w:rsid w:val="00CF556B"/>
    <w:rsid w:val="00CF6D60"/>
    <w:rsid w:val="00CF6E77"/>
    <w:rsid w:val="00D0030B"/>
    <w:rsid w:val="00D06E0F"/>
    <w:rsid w:val="00D34358"/>
    <w:rsid w:val="00D36850"/>
    <w:rsid w:val="00D42B34"/>
    <w:rsid w:val="00D46A00"/>
    <w:rsid w:val="00D823F6"/>
    <w:rsid w:val="00DD1BFF"/>
    <w:rsid w:val="00DE3B64"/>
    <w:rsid w:val="00DF1AD5"/>
    <w:rsid w:val="00DF4DCE"/>
    <w:rsid w:val="00E01636"/>
    <w:rsid w:val="00E034BE"/>
    <w:rsid w:val="00E15045"/>
    <w:rsid w:val="00E15DE4"/>
    <w:rsid w:val="00E16740"/>
    <w:rsid w:val="00E239E3"/>
    <w:rsid w:val="00E2617F"/>
    <w:rsid w:val="00E301C9"/>
    <w:rsid w:val="00E4484D"/>
    <w:rsid w:val="00E45E01"/>
    <w:rsid w:val="00E50422"/>
    <w:rsid w:val="00E615AD"/>
    <w:rsid w:val="00E62CA0"/>
    <w:rsid w:val="00E6608A"/>
    <w:rsid w:val="00E7572C"/>
    <w:rsid w:val="00E856C5"/>
    <w:rsid w:val="00E906BC"/>
    <w:rsid w:val="00E90A0D"/>
    <w:rsid w:val="00EB2CFD"/>
    <w:rsid w:val="00EB5F0B"/>
    <w:rsid w:val="00EB7547"/>
    <w:rsid w:val="00EC0FE7"/>
    <w:rsid w:val="00EC4E73"/>
    <w:rsid w:val="00EC65D1"/>
    <w:rsid w:val="00EC7E7D"/>
    <w:rsid w:val="00ED4A67"/>
    <w:rsid w:val="00EE5B08"/>
    <w:rsid w:val="00F00D7E"/>
    <w:rsid w:val="00F012F9"/>
    <w:rsid w:val="00F05883"/>
    <w:rsid w:val="00F05B39"/>
    <w:rsid w:val="00F15696"/>
    <w:rsid w:val="00F34302"/>
    <w:rsid w:val="00F36D99"/>
    <w:rsid w:val="00F43D65"/>
    <w:rsid w:val="00F603F9"/>
    <w:rsid w:val="00F75805"/>
    <w:rsid w:val="00F8001C"/>
    <w:rsid w:val="00F9282B"/>
    <w:rsid w:val="00FA1C50"/>
    <w:rsid w:val="00FA39BD"/>
    <w:rsid w:val="00FA6E95"/>
    <w:rsid w:val="00FB6320"/>
    <w:rsid w:val="00FD236B"/>
    <w:rsid w:val="00FD6F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3F9D"/>
  <w15:docId w15:val="{ABE13648-046C-4308-A184-5E5784CB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60EE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362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45B04"/>
    <w:pPr>
      <w:spacing w:after="200" w:line="276" w:lineRule="auto"/>
      <w:ind w:left="720"/>
      <w:contextualSpacing/>
    </w:pPr>
    <w:rPr>
      <w:rFonts w:eastAsia="Calibri"/>
    </w:rPr>
  </w:style>
  <w:style w:type="character" w:styleId="CommentReference">
    <w:name w:val="annotation reference"/>
    <w:basedOn w:val="DefaultParagraphFont"/>
    <w:uiPriority w:val="99"/>
    <w:semiHidden/>
    <w:unhideWhenUsed/>
    <w:rsid w:val="00A45B04"/>
    <w:rPr>
      <w:sz w:val="16"/>
      <w:szCs w:val="16"/>
    </w:rPr>
  </w:style>
  <w:style w:type="paragraph" w:styleId="CommentText">
    <w:name w:val="annotation text"/>
    <w:basedOn w:val="Normal"/>
    <w:link w:val="CommentTextChar"/>
    <w:uiPriority w:val="99"/>
    <w:semiHidden/>
    <w:unhideWhenUsed/>
    <w:rsid w:val="00A45B04"/>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A45B0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45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B04"/>
    <w:rPr>
      <w:rFonts w:ascii="Segoe UI" w:hAnsi="Segoe UI" w:cs="Segoe UI"/>
      <w:sz w:val="18"/>
      <w:szCs w:val="18"/>
    </w:rPr>
  </w:style>
  <w:style w:type="character" w:styleId="Hyperlink">
    <w:name w:val="Hyperlink"/>
    <w:basedOn w:val="DefaultParagraphFont"/>
    <w:uiPriority w:val="99"/>
    <w:unhideWhenUsed/>
    <w:rsid w:val="000C267A"/>
    <w:rPr>
      <w:color w:val="0000FF" w:themeColor="hyperlink"/>
      <w:u w:val="single"/>
    </w:rPr>
  </w:style>
  <w:style w:type="character" w:styleId="FollowedHyperlink">
    <w:name w:val="FollowedHyperlink"/>
    <w:basedOn w:val="DefaultParagraphFont"/>
    <w:uiPriority w:val="99"/>
    <w:semiHidden/>
    <w:unhideWhenUsed/>
    <w:rsid w:val="00661252"/>
    <w:rPr>
      <w:color w:val="800080" w:themeColor="followedHyperlink"/>
      <w:u w:val="single"/>
    </w:rPr>
  </w:style>
  <w:style w:type="paragraph" w:styleId="Header">
    <w:name w:val="header"/>
    <w:basedOn w:val="Normal"/>
    <w:link w:val="HeaderChar"/>
    <w:uiPriority w:val="99"/>
    <w:unhideWhenUsed/>
    <w:rsid w:val="00727754"/>
    <w:pPr>
      <w:tabs>
        <w:tab w:val="center" w:pos="4153"/>
        <w:tab w:val="right" w:pos="8306"/>
      </w:tabs>
    </w:pPr>
  </w:style>
  <w:style w:type="character" w:customStyle="1" w:styleId="HeaderChar">
    <w:name w:val="Header Char"/>
    <w:basedOn w:val="DefaultParagraphFont"/>
    <w:link w:val="Header"/>
    <w:uiPriority w:val="99"/>
    <w:rsid w:val="00727754"/>
    <w:rPr>
      <w:rFonts w:ascii="Calibri" w:hAnsi="Calibri" w:cs="Times New Roman"/>
    </w:rPr>
  </w:style>
  <w:style w:type="paragraph" w:styleId="Footer">
    <w:name w:val="footer"/>
    <w:basedOn w:val="Normal"/>
    <w:link w:val="FooterChar"/>
    <w:uiPriority w:val="99"/>
    <w:unhideWhenUsed/>
    <w:rsid w:val="00727754"/>
    <w:pPr>
      <w:tabs>
        <w:tab w:val="center" w:pos="4153"/>
        <w:tab w:val="right" w:pos="8306"/>
      </w:tabs>
    </w:pPr>
  </w:style>
  <w:style w:type="character" w:customStyle="1" w:styleId="FooterChar">
    <w:name w:val="Footer Char"/>
    <w:basedOn w:val="DefaultParagraphFont"/>
    <w:link w:val="Footer"/>
    <w:uiPriority w:val="99"/>
    <w:rsid w:val="00727754"/>
    <w:rPr>
      <w:rFonts w:ascii="Calibri" w:hAnsi="Calibri" w:cs="Times New Roman"/>
    </w:rPr>
  </w:style>
  <w:style w:type="paragraph" w:customStyle="1" w:styleId="Style14">
    <w:name w:val="Style14"/>
    <w:basedOn w:val="Normal"/>
    <w:uiPriority w:val="99"/>
    <w:rsid w:val="0057468E"/>
    <w:pPr>
      <w:widowControl w:val="0"/>
      <w:autoSpaceDE w:val="0"/>
      <w:autoSpaceDN w:val="0"/>
      <w:adjustRightInd w:val="0"/>
      <w:spacing w:line="278" w:lineRule="exact"/>
      <w:jc w:val="both"/>
    </w:pPr>
    <w:rPr>
      <w:rFonts w:ascii="Bookman Old Style" w:eastAsiaTheme="minorEastAsia" w:hAnsi="Bookman Old Style" w:cstheme="minorBidi"/>
      <w:sz w:val="24"/>
      <w:szCs w:val="24"/>
      <w:lang w:eastAsia="el-GR"/>
    </w:rPr>
  </w:style>
  <w:style w:type="character" w:customStyle="1" w:styleId="FontStyle50">
    <w:name w:val="Font Style50"/>
    <w:basedOn w:val="DefaultParagraphFont"/>
    <w:uiPriority w:val="99"/>
    <w:rsid w:val="0057468E"/>
    <w:rPr>
      <w:rFonts w:ascii="Franklin Gothic Medium Cond" w:hAnsi="Franklin Gothic Medium Cond" w:cs="Franklin Gothic Medium Cond"/>
      <w:color w:val="000000"/>
      <w:sz w:val="20"/>
      <w:szCs w:val="20"/>
    </w:rPr>
  </w:style>
  <w:style w:type="character" w:customStyle="1" w:styleId="FontStyle63">
    <w:name w:val="Font Style63"/>
    <w:basedOn w:val="DefaultParagraphFont"/>
    <w:uiPriority w:val="99"/>
    <w:rsid w:val="0057468E"/>
    <w:rPr>
      <w:rFonts w:ascii="Franklin Gothic Book" w:hAnsi="Franklin Gothic Book" w:cs="Franklin Gothic Book"/>
      <w:color w:val="000000"/>
      <w:sz w:val="18"/>
      <w:szCs w:val="18"/>
    </w:rPr>
  </w:style>
  <w:style w:type="paragraph" w:customStyle="1" w:styleId="Style15">
    <w:name w:val="Style15"/>
    <w:basedOn w:val="Normal"/>
    <w:uiPriority w:val="99"/>
    <w:rsid w:val="0057468E"/>
    <w:pPr>
      <w:widowControl w:val="0"/>
      <w:autoSpaceDE w:val="0"/>
      <w:autoSpaceDN w:val="0"/>
      <w:adjustRightInd w:val="0"/>
      <w:spacing w:line="280" w:lineRule="exact"/>
      <w:jc w:val="both"/>
    </w:pPr>
    <w:rPr>
      <w:rFonts w:ascii="Courier New" w:eastAsia="PMingLiU" w:hAnsi="Courier New" w:cs="Courier New"/>
      <w:sz w:val="24"/>
      <w:szCs w:val="24"/>
      <w:lang w:eastAsia="zh-TW"/>
    </w:rPr>
  </w:style>
  <w:style w:type="paragraph" w:customStyle="1" w:styleId="npara">
    <w:name w:val="npara"/>
    <w:uiPriority w:val="99"/>
    <w:rsid w:val="0057468E"/>
    <w:pPr>
      <w:suppressAutoHyphens/>
      <w:autoSpaceDE w:val="0"/>
      <w:autoSpaceDN w:val="0"/>
      <w:adjustRightInd w:val="0"/>
      <w:spacing w:after="120" w:line="200" w:lineRule="atLeast"/>
      <w:jc w:val="both"/>
    </w:pPr>
    <w:rPr>
      <w:rFonts w:ascii="Swift LT Pro" w:eastAsia="Times New Roman" w:hAnsi="Swift LT Pro" w:cs="Swift LT Pro"/>
      <w:color w:val="000000"/>
      <w:w w:val="0"/>
      <w:sz w:val="16"/>
      <w:szCs w:val="16"/>
      <w:lang w:val="en-GB" w:eastAsia="en-GB"/>
    </w:rPr>
  </w:style>
  <w:style w:type="paragraph" w:styleId="CommentSubject">
    <w:name w:val="annotation subject"/>
    <w:basedOn w:val="CommentText"/>
    <w:next w:val="CommentText"/>
    <w:link w:val="CommentSubjectChar"/>
    <w:uiPriority w:val="99"/>
    <w:semiHidden/>
    <w:unhideWhenUsed/>
    <w:rsid w:val="00A94988"/>
    <w:pPr>
      <w:spacing w:after="0"/>
    </w:pPr>
    <w:rPr>
      <w:rFonts w:eastAsiaTheme="minorHAnsi"/>
      <w:b/>
      <w:bCs/>
    </w:rPr>
  </w:style>
  <w:style w:type="character" w:customStyle="1" w:styleId="CommentSubjectChar">
    <w:name w:val="Comment Subject Char"/>
    <w:basedOn w:val="CommentTextChar"/>
    <w:link w:val="CommentSubject"/>
    <w:uiPriority w:val="99"/>
    <w:semiHidden/>
    <w:rsid w:val="00A94988"/>
    <w:rPr>
      <w:rFonts w:ascii="Calibri" w:eastAsia="Calibri" w:hAnsi="Calibri" w:cs="Times New Roman"/>
      <w:b/>
      <w:bCs/>
      <w:sz w:val="20"/>
      <w:szCs w:val="20"/>
    </w:rPr>
  </w:style>
  <w:style w:type="paragraph" w:customStyle="1" w:styleId="Style5">
    <w:name w:val="Style5"/>
    <w:basedOn w:val="Normal"/>
    <w:uiPriority w:val="99"/>
    <w:rsid w:val="00201FD5"/>
    <w:pPr>
      <w:widowControl w:val="0"/>
      <w:autoSpaceDE w:val="0"/>
      <w:autoSpaceDN w:val="0"/>
      <w:adjustRightInd w:val="0"/>
    </w:pPr>
    <w:rPr>
      <w:rFonts w:ascii="Book Antiqua" w:eastAsia="Times New Roman" w:hAnsi="Book Antiqua"/>
      <w:sz w:val="24"/>
      <w:szCs w:val="24"/>
      <w:lang w:eastAsia="el-GR"/>
    </w:rPr>
  </w:style>
  <w:style w:type="paragraph" w:customStyle="1" w:styleId="Style6">
    <w:name w:val="Style6"/>
    <w:basedOn w:val="Normal"/>
    <w:uiPriority w:val="99"/>
    <w:rsid w:val="00201FD5"/>
    <w:pPr>
      <w:widowControl w:val="0"/>
      <w:autoSpaceDE w:val="0"/>
      <w:autoSpaceDN w:val="0"/>
      <w:adjustRightInd w:val="0"/>
    </w:pPr>
    <w:rPr>
      <w:rFonts w:ascii="Courier New" w:eastAsia="SimSun" w:hAnsi="Courier New" w:cs="Courier New"/>
      <w:sz w:val="24"/>
      <w:szCs w:val="24"/>
      <w:lang w:eastAsia="el-GR"/>
    </w:rPr>
  </w:style>
  <w:style w:type="paragraph" w:customStyle="1" w:styleId="Style3">
    <w:name w:val="Style3"/>
    <w:basedOn w:val="Normal"/>
    <w:uiPriority w:val="99"/>
    <w:rsid w:val="00201FD5"/>
    <w:pPr>
      <w:widowControl w:val="0"/>
      <w:autoSpaceDE w:val="0"/>
      <w:autoSpaceDN w:val="0"/>
      <w:adjustRightInd w:val="0"/>
    </w:pPr>
    <w:rPr>
      <w:rFonts w:ascii="Courier New" w:eastAsia="SimSun" w:hAnsi="Courier New" w:cs="Courier New"/>
      <w:sz w:val="24"/>
      <w:szCs w:val="24"/>
      <w:lang w:eastAsia="el-GR"/>
    </w:rPr>
  </w:style>
  <w:style w:type="character" w:customStyle="1" w:styleId="FontStyle26">
    <w:name w:val="Font Style26"/>
    <w:uiPriority w:val="99"/>
    <w:rsid w:val="00201FD5"/>
    <w:rPr>
      <w:rFonts w:ascii="Franklin Gothic Book" w:hAnsi="Franklin Gothic Book" w:cs="Franklin Gothic Book"/>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1219">
      <w:bodyDiv w:val="1"/>
      <w:marLeft w:val="0"/>
      <w:marRight w:val="0"/>
      <w:marTop w:val="0"/>
      <w:marBottom w:val="0"/>
      <w:divBdr>
        <w:top w:val="none" w:sz="0" w:space="0" w:color="auto"/>
        <w:left w:val="none" w:sz="0" w:space="0" w:color="auto"/>
        <w:bottom w:val="none" w:sz="0" w:space="0" w:color="auto"/>
        <w:right w:val="none" w:sz="0" w:space="0" w:color="auto"/>
      </w:divBdr>
    </w:div>
    <w:div w:id="1089303491">
      <w:bodyDiv w:val="1"/>
      <w:marLeft w:val="0"/>
      <w:marRight w:val="0"/>
      <w:marTop w:val="0"/>
      <w:marBottom w:val="0"/>
      <w:divBdr>
        <w:top w:val="none" w:sz="0" w:space="0" w:color="auto"/>
        <w:left w:val="none" w:sz="0" w:space="0" w:color="auto"/>
        <w:bottom w:val="none" w:sz="0" w:space="0" w:color="auto"/>
        <w:right w:val="none" w:sz="0" w:space="0" w:color="auto"/>
      </w:divBdr>
    </w:div>
    <w:div w:id="1581980728">
      <w:bodyDiv w:val="1"/>
      <w:marLeft w:val="0"/>
      <w:marRight w:val="0"/>
      <w:marTop w:val="0"/>
      <w:marBottom w:val="0"/>
      <w:divBdr>
        <w:top w:val="none" w:sz="0" w:space="0" w:color="auto"/>
        <w:left w:val="none" w:sz="0" w:space="0" w:color="auto"/>
        <w:bottom w:val="none" w:sz="0" w:space="0" w:color="auto"/>
        <w:right w:val="none" w:sz="0" w:space="0" w:color="auto"/>
      </w:divBdr>
    </w:div>
    <w:div w:id="1744523677">
      <w:bodyDiv w:val="1"/>
      <w:marLeft w:val="0"/>
      <w:marRight w:val="0"/>
      <w:marTop w:val="0"/>
      <w:marBottom w:val="0"/>
      <w:divBdr>
        <w:top w:val="none" w:sz="0" w:space="0" w:color="auto"/>
        <w:left w:val="none" w:sz="0" w:space="0" w:color="auto"/>
        <w:bottom w:val="none" w:sz="0" w:space="0" w:color="auto"/>
        <w:right w:val="none" w:sz="0" w:space="0" w:color="auto"/>
      </w:divBdr>
    </w:div>
    <w:div w:id="1859467304">
      <w:bodyDiv w:val="1"/>
      <w:marLeft w:val="0"/>
      <w:marRight w:val="0"/>
      <w:marTop w:val="0"/>
      <w:marBottom w:val="0"/>
      <w:divBdr>
        <w:top w:val="none" w:sz="0" w:space="0" w:color="auto"/>
        <w:left w:val="none" w:sz="0" w:space="0" w:color="auto"/>
        <w:bottom w:val="none" w:sz="0" w:space="0" w:color="auto"/>
        <w:right w:val="none" w:sz="0" w:space="0" w:color="auto"/>
      </w:divBdr>
    </w:div>
    <w:div w:id="19059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105A-50FD-4F13-B5CE-480E63B6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530</Words>
  <Characters>2868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Kalogeropoulou</dc:creator>
  <cp:lastModifiedBy>Δήμητρα Αρκουμάνη</cp:lastModifiedBy>
  <cp:revision>36</cp:revision>
  <cp:lastPrinted>2016-06-25T09:35:00Z</cp:lastPrinted>
  <dcterms:created xsi:type="dcterms:W3CDTF">2016-06-25T08:40:00Z</dcterms:created>
  <dcterms:modified xsi:type="dcterms:W3CDTF">2016-07-06T11:05:00Z</dcterms:modified>
</cp:coreProperties>
</file>